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A563A" w:rsidRPr="00383166" w:rsidRDefault="0058114C" w:rsidP="003A563A">
      <w:pPr>
        <w:spacing w:line="276" w:lineRule="auto"/>
        <w:rPr>
          <w:rFonts w:eastAsiaTheme="majorEastAsia" w:cstheme="majorBidi"/>
          <w:b/>
          <w:sz w:val="40"/>
          <w:szCs w:val="32"/>
        </w:rPr>
      </w:pPr>
      <w:r>
        <w:rPr>
          <w:b/>
          <w:sz w:val="40"/>
          <w:szCs w:val="32"/>
        </w:rPr>
        <w:t xml:space="preserve">Extendedoras de encofrado deslizante entre orugas de Wirtgen: extendido de hormigón de máxima calidad </w:t>
      </w:r>
    </w:p>
    <w:p w:rsidR="003A563A" w:rsidRPr="003A563A" w:rsidRDefault="003A563A" w:rsidP="003A563A">
      <w:pPr>
        <w:spacing w:line="276" w:lineRule="auto"/>
        <w:rPr>
          <w:rFonts w:ascii="Verdana" w:eastAsia="Times New Roman" w:hAnsi="Verdana" w:cs="Times New Roman"/>
          <w:sz w:val="22"/>
          <w:szCs w:val="22"/>
          <w:lang w:eastAsia="de-DE"/>
        </w:rPr>
      </w:pPr>
    </w:p>
    <w:p w:rsidR="003A563A" w:rsidRPr="004A6D82" w:rsidRDefault="003A563A" w:rsidP="004A6D82">
      <w:pPr>
        <w:spacing w:line="276" w:lineRule="auto"/>
        <w:jc w:val="both"/>
        <w:rPr>
          <w:rFonts w:ascii="Verdana" w:eastAsia="Times New Roman" w:hAnsi="Verdana" w:cs="Times New Roman"/>
          <w:b/>
          <w:sz w:val="22"/>
          <w:szCs w:val="22"/>
        </w:rPr>
      </w:pPr>
      <w:r w:rsidRPr="004A6D82">
        <w:rPr>
          <w:rFonts w:ascii="Verdana" w:hAnsi="Verdana"/>
          <w:b/>
          <w:sz w:val="22"/>
          <w:szCs w:val="22"/>
        </w:rPr>
        <w:t>Las extendedoras de encofrado deslizante entre orugas como la Wirtgen SP 62i son el elemento ideal para el extendido rentable de firmes de hormigón. Así ocurrió también en College Station, una ciudad a unos 150 km al noroeste de Houston, donde la máquina de la serie SP 60 construyó nuevas calzadas en el terreno de la antigua Texas World Speedway, y lo hizo con total precisión.</w:t>
      </w:r>
    </w:p>
    <w:p w:rsidR="003A563A" w:rsidRPr="003A563A" w:rsidRDefault="003A563A" w:rsidP="004A6D82">
      <w:pPr>
        <w:spacing w:line="276" w:lineRule="auto"/>
        <w:jc w:val="both"/>
        <w:rPr>
          <w:rFonts w:ascii="Verdana" w:eastAsia="Times New Roman" w:hAnsi="Verdana" w:cs="Times New Roman"/>
          <w:b/>
          <w:sz w:val="22"/>
          <w:szCs w:val="22"/>
          <w:lang w:eastAsia="de-DE"/>
        </w:rPr>
      </w:pPr>
    </w:p>
    <w:p w:rsidR="003A563A" w:rsidRPr="003A563A" w:rsidRDefault="003A563A" w:rsidP="004A6D82">
      <w:pPr>
        <w:spacing w:line="276" w:lineRule="auto"/>
        <w:jc w:val="both"/>
        <w:rPr>
          <w:rFonts w:ascii="Verdana" w:eastAsia="Times New Roman" w:hAnsi="Verdana" w:cs="Times New Roman"/>
          <w:b/>
          <w:sz w:val="22"/>
          <w:szCs w:val="22"/>
        </w:rPr>
      </w:pPr>
      <w:r>
        <w:rPr>
          <w:rFonts w:ascii="Verdana" w:hAnsi="Verdana"/>
          <w:b/>
          <w:sz w:val="22"/>
          <w:szCs w:val="22"/>
        </w:rPr>
        <w:t>La SP 62i construye nuevas carreteras para Texas</w:t>
      </w:r>
    </w:p>
    <w:p w:rsidR="003A563A" w:rsidRPr="003A563A" w:rsidRDefault="003A563A" w:rsidP="004A6D82">
      <w:pPr>
        <w:spacing w:line="276" w:lineRule="auto"/>
        <w:jc w:val="both"/>
        <w:rPr>
          <w:rFonts w:ascii="Verdana" w:eastAsia="Times New Roman" w:hAnsi="Verdana" w:cs="Times New Roman"/>
          <w:sz w:val="22"/>
          <w:szCs w:val="22"/>
        </w:rPr>
      </w:pPr>
      <w:r>
        <w:rPr>
          <w:rFonts w:ascii="Verdana" w:hAnsi="Verdana"/>
          <w:sz w:val="22"/>
          <w:szCs w:val="22"/>
        </w:rPr>
        <w:t>Allí se necesitan más de 76 000 m</w:t>
      </w:r>
      <w:r w:rsidR="004A6D82" w:rsidRPr="004A6D82">
        <w:rPr>
          <w:rFonts w:ascii="Verdana" w:hAnsi="Verdana"/>
          <w:sz w:val="22"/>
          <w:szCs w:val="22"/>
          <w:vertAlign w:val="superscript"/>
        </w:rPr>
        <w:t>2</w:t>
      </w:r>
      <w:r>
        <w:rPr>
          <w:rFonts w:ascii="Verdana" w:hAnsi="Verdana"/>
          <w:sz w:val="22"/>
          <w:szCs w:val="22"/>
        </w:rPr>
        <w:t xml:space="preserve"> de carretera para la nueva zona residencial</w:t>
      </w:r>
      <w:r>
        <w:rPr>
          <w:sz w:val="22"/>
        </w:rPr>
        <w:t xml:space="preserve"> «</w:t>
      </w:r>
      <w:r>
        <w:rPr>
          <w:rFonts w:ascii="Verdana" w:hAnsi="Verdana"/>
          <w:sz w:val="22"/>
          <w:szCs w:val="22"/>
        </w:rPr>
        <w:t xml:space="preserve">Southern Pointe», que en los próximos 12 años debe surgir sobre una superficie de 2,6 km². «Entre otros motivos, nos decidimos por la SP 62i porque muchas veces trabajamos dentro del casco urbano», explica uno de los criterios de selección Mark Schinzler, gerente de la constructora que ejecuta las obras, Larry Young Paving Inc. Con la pavimentadora compacta de 2 cadenas de Wirtgen se pueden extender con precisión superficies de hormigón de entre 3,50 y 7,50 m de anchura y hasta 450 mm de altura, y bajo demanda también son posibles anchuras de extendido, alturas de montaje y opciones especiales. </w:t>
      </w:r>
    </w:p>
    <w:p w:rsidR="003A563A" w:rsidRPr="003A563A" w:rsidRDefault="003A563A" w:rsidP="004A6D82">
      <w:pPr>
        <w:spacing w:line="276" w:lineRule="auto"/>
        <w:jc w:val="both"/>
        <w:rPr>
          <w:rFonts w:ascii="Verdana" w:eastAsia="Times New Roman" w:hAnsi="Verdana" w:cs="Times New Roman"/>
          <w:sz w:val="22"/>
          <w:szCs w:val="22"/>
          <w:lang w:eastAsia="de-DE"/>
        </w:rPr>
      </w:pPr>
    </w:p>
    <w:p w:rsidR="004A6D82" w:rsidRDefault="003A563A" w:rsidP="004A6D82">
      <w:pPr>
        <w:spacing w:line="276" w:lineRule="auto"/>
        <w:jc w:val="both"/>
        <w:rPr>
          <w:rFonts w:ascii="Verdana" w:hAnsi="Verdana"/>
          <w:sz w:val="22"/>
          <w:szCs w:val="22"/>
        </w:rPr>
      </w:pPr>
      <w:r>
        <w:rPr>
          <w:rFonts w:ascii="Verdana" w:hAnsi="Verdana"/>
          <w:sz w:val="22"/>
          <w:szCs w:val="22"/>
        </w:rPr>
        <w:t>En College Station se dio el pistoletazo de salida en la entrada sur de la nueva zona residencial. Sobre un subsuelo estabilizado con cal, la extendedora de encofrado entre orugas extendió el hormigón en una longitud de 670 m en dos pasadas con 11,5 m de anchura, 200 mm de altura y con un perfil de caída transversal del tres por ciento. También resultó convincente por su forma de trabajar silenciosa y por características técnicas como el alisador longitudinal automático. «Es increíble como elimina las irregularidades el alisador longitudinal», comenta Schinzler</w:t>
      </w:r>
      <w:r>
        <w:rPr>
          <w:rFonts w:ascii="Arial" w:hAnsi="Arial"/>
          <w:sz w:val="22"/>
          <w:szCs w:val="24"/>
        </w:rPr>
        <w:t xml:space="preserve"> </w:t>
      </w:r>
      <w:r>
        <w:rPr>
          <w:rFonts w:ascii="Verdana" w:hAnsi="Verdana"/>
          <w:sz w:val="22"/>
          <w:szCs w:val="22"/>
        </w:rPr>
        <w:t xml:space="preserve">entusiasmado por la gran nivelación de la superficie de hormigón. También le ha sorprendido positivamente el manejo sencillo de la SP 62i, con la que el equipo tuvo ocasión de familiarizarse ya antes de la compra durante un curso en el Wirtgen Centre for Training &amp; Technology de Nashville. </w:t>
      </w:r>
    </w:p>
    <w:p w:rsidR="004A6D82" w:rsidRDefault="004A6D82" w:rsidP="004A6D82">
      <w:pPr>
        <w:spacing w:line="276" w:lineRule="auto"/>
        <w:jc w:val="both"/>
        <w:rPr>
          <w:rFonts w:ascii="Verdana" w:hAnsi="Verdana"/>
          <w:sz w:val="22"/>
          <w:szCs w:val="22"/>
        </w:rPr>
      </w:pPr>
    </w:p>
    <w:p w:rsidR="003A563A" w:rsidRPr="003A563A" w:rsidRDefault="003A563A" w:rsidP="004A6D82">
      <w:pPr>
        <w:spacing w:line="276" w:lineRule="auto"/>
        <w:jc w:val="both"/>
        <w:rPr>
          <w:rFonts w:ascii="Verdana" w:eastAsia="Times New Roman" w:hAnsi="Verdana" w:cs="Times New Roman"/>
          <w:sz w:val="22"/>
          <w:szCs w:val="22"/>
        </w:rPr>
      </w:pPr>
      <w:r>
        <w:rPr>
          <w:rFonts w:ascii="Verdana" w:hAnsi="Verdana"/>
          <w:sz w:val="22"/>
          <w:szCs w:val="22"/>
        </w:rPr>
        <w:t>«Todos los empleados conocen a la perfección el manejo de la pavimentadora y se sienten cómodos con ella», añade el gerente. Además, destaca la asistencia al cliente de Wirtgen Group en Estados Unidos: «El apoyo para cualquier cuestión técnica o relacionada con la aplicación es fantástico.</w:t>
      </w:r>
      <w:r>
        <w:rPr>
          <w:rFonts w:ascii="Arial" w:hAnsi="Arial"/>
          <w:sz w:val="22"/>
          <w:szCs w:val="24"/>
        </w:rPr>
        <w:t xml:space="preserve"> </w:t>
      </w:r>
      <w:r>
        <w:rPr>
          <w:rFonts w:ascii="Verdana" w:hAnsi="Verdana"/>
          <w:sz w:val="22"/>
          <w:szCs w:val="22"/>
        </w:rPr>
        <w:t xml:space="preserve">Sus empleados siempre están a nuestra disposición, las 24 </w:t>
      </w:r>
      <w:r w:rsidR="00367FE7">
        <w:rPr>
          <w:rFonts w:ascii="Verdana" w:hAnsi="Verdana"/>
          <w:sz w:val="22"/>
          <w:szCs w:val="22"/>
        </w:rPr>
        <w:t>horas</w:t>
      </w:r>
      <w:r>
        <w:rPr>
          <w:rFonts w:ascii="Verdana" w:hAnsi="Verdana"/>
          <w:sz w:val="22"/>
          <w:szCs w:val="22"/>
        </w:rPr>
        <w:t xml:space="preserve"> del día».</w:t>
      </w:r>
    </w:p>
    <w:p w:rsidR="00AA69CC" w:rsidRPr="0014683F" w:rsidRDefault="00AA69CC" w:rsidP="00082F31">
      <w:pPr>
        <w:pStyle w:val="Text"/>
        <w:suppressAutoHyphens/>
        <w:spacing w:line="276" w:lineRule="auto"/>
      </w:pPr>
    </w:p>
    <w:p w:rsidR="002E765F" w:rsidRPr="0014683F" w:rsidRDefault="002E765F" w:rsidP="00C644CA">
      <w:pPr>
        <w:pStyle w:val="Text"/>
      </w:pPr>
      <w:r>
        <w:br w:type="page"/>
      </w:r>
    </w:p>
    <w:p w:rsidR="00D166AC" w:rsidRDefault="002844EF" w:rsidP="00C644CA">
      <w:pPr>
        <w:pStyle w:val="HeadlineFotos"/>
      </w:pPr>
      <w:r>
        <w:rPr>
          <w:rFonts w:ascii="Verdana" w:hAnsi="Verdana"/>
          <w:caps w:val="0"/>
          <w:szCs w:val="22"/>
        </w:rPr>
        <w:lastRenderedPageBreak/>
        <w:t>Fotos</w:t>
      </w:r>
      <w:r>
        <w:t>:</w:t>
      </w:r>
    </w:p>
    <w:tbl>
      <w:tblPr>
        <w:tblStyle w:val="Basic"/>
        <w:tblW w:w="0" w:type="auto"/>
        <w:tblCellSpacing w:w="71" w:type="dxa"/>
        <w:tblLook w:val="04A0" w:firstRow="1" w:lastRow="0" w:firstColumn="1" w:lastColumn="0" w:noHBand="0" w:noVBand="1"/>
      </w:tblPr>
      <w:tblGrid>
        <w:gridCol w:w="4952"/>
        <w:gridCol w:w="4856"/>
      </w:tblGrid>
      <w:tr w:rsidR="003A563A" w:rsidRPr="005C6EEC" w:rsidTr="00B463D0">
        <w:trPr>
          <w:cnfStyle w:val="100000000000" w:firstRow="1" w:lastRow="0" w:firstColumn="0" w:lastColumn="0" w:oddVBand="0" w:evenVBand="0" w:oddHBand="0" w:evenHBand="0" w:firstRowFirstColumn="0" w:firstRowLastColumn="0" w:lastRowFirstColumn="0" w:lastRowLastColumn="0"/>
          <w:tblCellSpacing w:w="71" w:type="dxa"/>
        </w:trPr>
        <w:tc>
          <w:tcPr>
            <w:tcW w:w="4823" w:type="dxa"/>
            <w:tcBorders>
              <w:right w:val="single" w:sz="4" w:space="0" w:color="auto"/>
            </w:tcBorders>
          </w:tcPr>
          <w:p w:rsidR="003A563A" w:rsidRPr="005C6EEC" w:rsidRDefault="003A563A" w:rsidP="00B463D0">
            <w:pPr>
              <w:rPr>
                <w:rFonts w:ascii="Verdana" w:hAnsi="Verdana"/>
                <w:szCs w:val="16"/>
              </w:rPr>
            </w:pPr>
          </w:p>
        </w:tc>
        <w:tc>
          <w:tcPr>
            <w:tcW w:w="4815" w:type="dxa"/>
          </w:tcPr>
          <w:p w:rsidR="003A563A" w:rsidRPr="005C6EEC" w:rsidRDefault="003A563A" w:rsidP="00B463D0">
            <w:pPr>
              <w:spacing w:line="280" w:lineRule="atLeast"/>
              <w:rPr>
                <w:rFonts w:ascii="Verdana" w:hAnsi="Verdana"/>
                <w:sz w:val="20"/>
                <w:szCs w:val="16"/>
              </w:rPr>
            </w:pPr>
          </w:p>
        </w:tc>
      </w:tr>
      <w:tr w:rsidR="003A563A" w:rsidRPr="005C6EEC" w:rsidTr="00B463D0">
        <w:trPr>
          <w:tblCellSpacing w:w="71" w:type="dxa"/>
        </w:trPr>
        <w:tc>
          <w:tcPr>
            <w:tcW w:w="4823" w:type="dxa"/>
            <w:tcBorders>
              <w:right w:val="single" w:sz="4" w:space="0" w:color="auto"/>
            </w:tcBorders>
          </w:tcPr>
          <w:p w:rsidR="003A563A" w:rsidRPr="005C6EEC" w:rsidRDefault="003A563A" w:rsidP="00B463D0">
            <w:pPr>
              <w:rPr>
                <w:rFonts w:ascii="Verdana" w:hAnsi="Verdana"/>
                <w:szCs w:val="16"/>
              </w:rPr>
            </w:pPr>
            <w:r>
              <w:rPr>
                <w:rFonts w:ascii="Verdana" w:hAnsi="Verdana"/>
                <w:noProof/>
                <w:lang w:val="de-DE" w:eastAsia="zh-CN"/>
              </w:rPr>
              <w:drawing>
                <wp:inline distT="0" distB="0" distL="0" distR="0" wp14:anchorId="5E372347" wp14:editId="045140F6">
                  <wp:extent cx="2509114" cy="1697127"/>
                  <wp:effectExtent l="0" t="0" r="5715" b="0"/>
                  <wp:docPr id="2"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8" cstate="email">
                            <a:extLst>
                              <a:ext uri="{28A0092B-C50C-407E-A947-70E740481C1C}">
                                <a14:useLocalDpi xmlns:a14="http://schemas.microsoft.com/office/drawing/2010/main"/>
                              </a:ext>
                            </a:extLst>
                          </a:blip>
                          <a:stretch>
                            <a:fillRect/>
                          </a:stretch>
                        </pic:blipFill>
                        <pic:spPr bwMode="auto">
                          <a:xfrm>
                            <a:off x="0" y="0"/>
                            <a:ext cx="2521298" cy="1705368"/>
                          </a:xfrm>
                          <a:prstGeom prst="rect">
                            <a:avLst/>
                          </a:prstGeom>
                          <a:noFill/>
                          <a:ln>
                            <a:noFill/>
                          </a:ln>
                        </pic:spPr>
                      </pic:pic>
                    </a:graphicData>
                  </a:graphic>
                </wp:inline>
              </w:drawing>
            </w:r>
          </w:p>
        </w:tc>
        <w:tc>
          <w:tcPr>
            <w:tcW w:w="4815" w:type="dxa"/>
          </w:tcPr>
          <w:p w:rsidR="003A563A" w:rsidRPr="005C6EEC" w:rsidRDefault="003A563A" w:rsidP="00B463D0">
            <w:pPr>
              <w:keepNext/>
              <w:keepLines/>
              <w:spacing w:before="120" w:after="120" w:line="240" w:lineRule="exact"/>
              <w:jc w:val="both"/>
              <w:outlineLvl w:val="2"/>
              <w:rPr>
                <w:rFonts w:ascii="Verdana" w:hAnsi="Verdana"/>
                <w:b/>
                <w:sz w:val="20"/>
              </w:rPr>
            </w:pPr>
            <w:r>
              <w:rPr>
                <w:rFonts w:ascii="Verdana" w:hAnsi="Verdana"/>
                <w:b/>
                <w:sz w:val="20"/>
              </w:rPr>
              <w:t>W_photo_SP62i_00006_HI</w:t>
            </w:r>
          </w:p>
          <w:p w:rsidR="003A563A" w:rsidRPr="005C6EEC" w:rsidRDefault="003A563A" w:rsidP="00B463D0">
            <w:pPr>
              <w:spacing w:line="280" w:lineRule="atLeast"/>
              <w:rPr>
                <w:rFonts w:ascii="Verdana" w:hAnsi="Verdana"/>
                <w:sz w:val="20"/>
                <w:szCs w:val="16"/>
              </w:rPr>
            </w:pPr>
            <w:r>
              <w:rPr>
                <w:rFonts w:ascii="Verdana" w:hAnsi="Verdana"/>
                <w:sz w:val="20"/>
                <w:szCs w:val="16"/>
              </w:rPr>
              <w:t>El sistema de dirección y control inteligente de la extendedora de encofrado entre orugas SP 62i de Wirtgen permite una marcha extremadamente estable.</w:t>
            </w:r>
          </w:p>
        </w:tc>
      </w:tr>
    </w:tbl>
    <w:p w:rsidR="003A563A" w:rsidRDefault="003A563A" w:rsidP="003A563A">
      <w:pPr>
        <w:rPr>
          <w:rFonts w:ascii="Verdana" w:hAnsi="Verdana"/>
          <w:szCs w:val="22"/>
        </w:rPr>
      </w:pPr>
    </w:p>
    <w:tbl>
      <w:tblPr>
        <w:tblStyle w:val="Basic"/>
        <w:tblW w:w="0" w:type="auto"/>
        <w:tblCellSpacing w:w="71" w:type="dxa"/>
        <w:tblLook w:val="04A0" w:firstRow="1" w:lastRow="0" w:firstColumn="1" w:lastColumn="0" w:noHBand="0" w:noVBand="1"/>
      </w:tblPr>
      <w:tblGrid>
        <w:gridCol w:w="4953"/>
        <w:gridCol w:w="4855"/>
      </w:tblGrid>
      <w:tr w:rsidR="003A563A" w:rsidRPr="008F7B7C" w:rsidTr="00B463D0">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3A563A" w:rsidRPr="005C6EEC" w:rsidRDefault="003A563A" w:rsidP="00B463D0">
            <w:pPr>
              <w:rPr>
                <w:rFonts w:ascii="Verdana" w:hAnsi="Verdana"/>
                <w:szCs w:val="16"/>
              </w:rPr>
            </w:pPr>
            <w:r>
              <w:rPr>
                <w:rFonts w:ascii="Verdana" w:hAnsi="Verdana"/>
                <w:noProof/>
                <w:lang w:val="de-DE" w:eastAsia="zh-CN"/>
              </w:rPr>
              <w:drawing>
                <wp:inline distT="0" distB="0" distL="0" distR="0" wp14:anchorId="3C35D736" wp14:editId="788E1525">
                  <wp:extent cx="2521298" cy="1683100"/>
                  <wp:effectExtent l="0" t="0" r="0" b="0"/>
                  <wp:docPr id="4"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9" cstate="email">
                            <a:extLst>
                              <a:ext uri="{28A0092B-C50C-407E-A947-70E740481C1C}">
                                <a14:useLocalDpi xmlns:a14="http://schemas.microsoft.com/office/drawing/2010/main"/>
                              </a:ext>
                            </a:extLst>
                          </a:blip>
                          <a:stretch>
                            <a:fillRect/>
                          </a:stretch>
                        </pic:blipFill>
                        <pic:spPr bwMode="auto">
                          <a:xfrm>
                            <a:off x="0" y="0"/>
                            <a:ext cx="2521298" cy="1683100"/>
                          </a:xfrm>
                          <a:prstGeom prst="rect">
                            <a:avLst/>
                          </a:prstGeom>
                          <a:noFill/>
                          <a:ln>
                            <a:noFill/>
                          </a:ln>
                        </pic:spPr>
                      </pic:pic>
                    </a:graphicData>
                  </a:graphic>
                </wp:inline>
              </w:drawing>
            </w:r>
          </w:p>
        </w:tc>
        <w:tc>
          <w:tcPr>
            <w:tcW w:w="4832" w:type="dxa"/>
          </w:tcPr>
          <w:p w:rsidR="003A563A" w:rsidRPr="00997F23" w:rsidRDefault="003A563A" w:rsidP="00B463D0">
            <w:pPr>
              <w:keepNext/>
              <w:keepLines/>
              <w:spacing w:before="120" w:after="120" w:line="240" w:lineRule="exact"/>
              <w:jc w:val="both"/>
              <w:outlineLvl w:val="2"/>
              <w:rPr>
                <w:rFonts w:ascii="Verdana" w:hAnsi="Verdana"/>
                <w:b/>
                <w:sz w:val="20"/>
              </w:rPr>
            </w:pPr>
            <w:r>
              <w:rPr>
                <w:rFonts w:ascii="Verdana" w:hAnsi="Verdana"/>
                <w:b/>
                <w:sz w:val="20"/>
              </w:rPr>
              <w:t>W_photo_SP62i_00005_HI</w:t>
            </w:r>
          </w:p>
          <w:p w:rsidR="003A563A" w:rsidRPr="008F7B7C" w:rsidRDefault="003A563A" w:rsidP="00B463D0">
            <w:pPr>
              <w:spacing w:line="280" w:lineRule="atLeast"/>
              <w:rPr>
                <w:rFonts w:ascii="Verdana" w:hAnsi="Verdana"/>
                <w:sz w:val="20"/>
                <w:szCs w:val="16"/>
              </w:rPr>
            </w:pPr>
            <w:r>
              <w:rPr>
                <w:rFonts w:ascii="Verdana" w:hAnsi="Verdana"/>
                <w:sz w:val="20"/>
                <w:szCs w:val="16"/>
              </w:rPr>
              <w:t>Wallace Phillips, desarrollador del proyecto de Southern Pointe, y Larry Young, presidente de Larry Young Paving</w:t>
            </w:r>
            <w:r>
              <w:t xml:space="preserve"> </w:t>
            </w:r>
            <w:r>
              <w:rPr>
                <w:rFonts w:ascii="Verdana" w:hAnsi="Verdana"/>
                <w:sz w:val="20"/>
                <w:szCs w:val="16"/>
              </w:rPr>
              <w:t>Inc, durante su visita a la primera sección del tramo.</w:t>
            </w:r>
          </w:p>
        </w:tc>
      </w:tr>
    </w:tbl>
    <w:p w:rsidR="003A563A" w:rsidRPr="008F7B7C" w:rsidRDefault="003A563A" w:rsidP="003A563A">
      <w:pPr>
        <w:rPr>
          <w:rFonts w:ascii="Verdana" w:hAnsi="Verdana"/>
          <w:szCs w:val="22"/>
        </w:rPr>
      </w:pPr>
    </w:p>
    <w:p w:rsidR="00351388" w:rsidRDefault="00351388" w:rsidP="00D166AC">
      <w:pPr>
        <w:pStyle w:val="Text"/>
      </w:pPr>
    </w:p>
    <w:p w:rsidR="00C03396" w:rsidRDefault="00C03396" w:rsidP="00C03396">
      <w:pPr>
        <w:pStyle w:val="Text"/>
      </w:pPr>
      <w:r>
        <w:rPr>
          <w:i/>
          <w:u w:val="single"/>
        </w:rPr>
        <w:t>Nota:</w:t>
      </w:r>
      <w:r>
        <w:rPr>
          <w:i/>
        </w:rPr>
        <w:t xml:space="preserve"> Estas fotos sirven únicamente de vista previa. Para la impresión en las publicaciones, por favor, utilice fotos con una resolución de 300 dpi que podrá descargar de las páginas web de Wirtgen GmbH y del Wirtgen Group.</w:t>
      </w:r>
    </w:p>
    <w:p w:rsidR="00244981" w:rsidRDefault="00244981" w:rsidP="00D166AC">
      <w:pPr>
        <w:pStyle w:val="Text"/>
      </w:pPr>
    </w:p>
    <w:p w:rsidR="000A7276" w:rsidRDefault="000A7276"/>
    <w:tbl>
      <w:tblPr>
        <w:tblStyle w:val="Basic"/>
        <w:tblW w:w="0" w:type="auto"/>
        <w:tblLook w:val="04A0" w:firstRow="1" w:lastRow="0" w:firstColumn="1" w:lastColumn="0" w:noHBand="0" w:noVBand="1"/>
      </w:tblPr>
      <w:tblGrid>
        <w:gridCol w:w="4784"/>
        <w:gridCol w:w="4740"/>
      </w:tblGrid>
      <w:tr w:rsidR="00D166AC" w:rsidTr="0014683F">
        <w:trPr>
          <w:cnfStyle w:val="100000000000" w:firstRow="1" w:lastRow="0" w:firstColumn="0" w:lastColumn="0" w:oddVBand="0" w:evenVBand="0" w:oddHBand="0" w:evenHBand="0" w:firstRowFirstColumn="0" w:firstRowLastColumn="0" w:lastRowFirstColumn="0" w:lastRowLastColumn="0"/>
        </w:trPr>
        <w:tc>
          <w:tcPr>
            <w:tcW w:w="4784" w:type="dxa"/>
            <w:tcBorders>
              <w:right w:val="single" w:sz="48" w:space="0" w:color="FFFFFF" w:themeColor="background1"/>
            </w:tcBorders>
          </w:tcPr>
          <w:p w:rsidR="002844EF" w:rsidRDefault="002844EF" w:rsidP="0034191A">
            <w:pPr>
              <w:pStyle w:val="HeadlineKontakte"/>
              <w:rPr>
                <w:rFonts w:ascii="Verdana" w:eastAsia="Calibri" w:hAnsi="Verdana" w:cs="Times New Roman"/>
                <w:caps w:val="0"/>
                <w:szCs w:val="22"/>
              </w:rPr>
            </w:pPr>
            <w:r>
              <w:rPr>
                <w:rFonts w:ascii="Verdana" w:hAnsi="Verdana"/>
                <w:caps w:val="0"/>
                <w:szCs w:val="22"/>
              </w:rPr>
              <w:t xml:space="preserve">SI DESEA INFORMACIÓN MÁS DETALLADA, </w:t>
            </w:r>
          </w:p>
          <w:p w:rsidR="00D166AC" w:rsidRPr="00EB5ED4" w:rsidRDefault="002844EF" w:rsidP="0034191A">
            <w:pPr>
              <w:pStyle w:val="HeadlineKontakte"/>
              <w:rPr>
                <w:lang w:val="en-US"/>
              </w:rPr>
            </w:pPr>
            <w:r w:rsidRPr="00EB5ED4">
              <w:rPr>
                <w:rFonts w:ascii="Verdana" w:hAnsi="Verdana"/>
                <w:caps w:val="0"/>
                <w:szCs w:val="22"/>
                <w:lang w:val="en-US"/>
              </w:rPr>
              <w:t>DIRÍJASE A:</w:t>
            </w:r>
          </w:p>
          <w:p w:rsidR="008D4AE7" w:rsidRPr="00EB5ED4" w:rsidRDefault="008D4AE7" w:rsidP="008D4AE7">
            <w:pPr>
              <w:pStyle w:val="Text"/>
              <w:rPr>
                <w:lang w:val="en-US"/>
              </w:rPr>
            </w:pPr>
            <w:r w:rsidRPr="00EB5ED4">
              <w:rPr>
                <w:lang w:val="en-US"/>
              </w:rPr>
              <w:t>WIRTGEN GmbH</w:t>
            </w:r>
          </w:p>
          <w:p w:rsidR="008D4AE7" w:rsidRPr="00EB5ED4" w:rsidRDefault="008D4AE7" w:rsidP="008D4AE7">
            <w:pPr>
              <w:pStyle w:val="Text"/>
              <w:rPr>
                <w:lang w:val="en-US"/>
              </w:rPr>
            </w:pPr>
            <w:r w:rsidRPr="00EB5ED4">
              <w:rPr>
                <w:lang w:val="en-US"/>
              </w:rPr>
              <w:t>Corporate Communications</w:t>
            </w:r>
          </w:p>
          <w:p w:rsidR="008D4AE7" w:rsidRPr="00EB5ED4" w:rsidRDefault="008D4AE7" w:rsidP="008D4AE7">
            <w:pPr>
              <w:pStyle w:val="Text"/>
              <w:rPr>
                <w:lang w:val="en-US"/>
              </w:rPr>
            </w:pPr>
            <w:r w:rsidRPr="00EB5ED4">
              <w:rPr>
                <w:lang w:val="en-US"/>
              </w:rPr>
              <w:t>Michaela Adams, Mario Linnemann</w:t>
            </w:r>
          </w:p>
          <w:p w:rsidR="008D4AE7" w:rsidRPr="00EB5ED4" w:rsidRDefault="008D4AE7" w:rsidP="008D4AE7">
            <w:pPr>
              <w:pStyle w:val="Text"/>
              <w:rPr>
                <w:lang w:val="de-DE"/>
              </w:rPr>
            </w:pPr>
            <w:r w:rsidRPr="00EB5ED4">
              <w:rPr>
                <w:lang w:val="de-DE"/>
              </w:rPr>
              <w:t>Reinhard-Wirtgen-Straße 2</w:t>
            </w:r>
          </w:p>
          <w:p w:rsidR="008D4AE7" w:rsidRPr="00EB5ED4" w:rsidRDefault="008D4AE7" w:rsidP="008D4AE7">
            <w:pPr>
              <w:pStyle w:val="Text"/>
              <w:rPr>
                <w:lang w:val="de-DE"/>
              </w:rPr>
            </w:pPr>
            <w:r w:rsidRPr="00EB5ED4">
              <w:rPr>
                <w:lang w:val="de-DE"/>
              </w:rPr>
              <w:t>53578 Windhagen</w:t>
            </w:r>
          </w:p>
          <w:p w:rsidR="008D4AE7" w:rsidRPr="00EB5ED4" w:rsidRDefault="008D4AE7" w:rsidP="008D4AE7">
            <w:pPr>
              <w:pStyle w:val="Text"/>
              <w:rPr>
                <w:lang w:val="de-DE"/>
              </w:rPr>
            </w:pPr>
            <w:r w:rsidRPr="00EB5ED4">
              <w:rPr>
                <w:lang w:val="de-DE"/>
              </w:rPr>
              <w:t>Alemania</w:t>
            </w:r>
          </w:p>
          <w:p w:rsidR="008D4AE7" w:rsidRPr="00EB5ED4" w:rsidRDefault="008D4AE7" w:rsidP="008D4AE7">
            <w:pPr>
              <w:pStyle w:val="Text"/>
              <w:rPr>
                <w:lang w:val="de-DE"/>
              </w:rPr>
            </w:pPr>
          </w:p>
          <w:p w:rsidR="008D4AE7" w:rsidRPr="00EB5ED4" w:rsidRDefault="008D4AE7" w:rsidP="008D4AE7">
            <w:pPr>
              <w:pStyle w:val="Text"/>
              <w:rPr>
                <w:lang w:val="de-DE"/>
              </w:rPr>
            </w:pPr>
            <w:r w:rsidRPr="00EB5ED4">
              <w:rPr>
                <w:lang w:val="de-DE"/>
              </w:rPr>
              <w:t>Teléfono: +49 (0)</w:t>
            </w:r>
            <w:r w:rsidR="00E1341B" w:rsidRPr="00EB5ED4">
              <w:rPr>
                <w:lang w:val="de-DE"/>
              </w:rPr>
              <w:t xml:space="preserve"> 2645 131 – </w:t>
            </w:r>
            <w:r w:rsidR="00EB5ED4" w:rsidRPr="00EB5ED4">
              <w:rPr>
                <w:lang w:val="de-DE"/>
              </w:rPr>
              <w:t>0</w:t>
            </w:r>
            <w:bookmarkStart w:id="0" w:name="_GoBack"/>
            <w:bookmarkEnd w:id="0"/>
          </w:p>
          <w:p w:rsidR="008D4AE7" w:rsidRPr="00EB5ED4" w:rsidRDefault="008D4AE7" w:rsidP="008D4AE7">
            <w:pPr>
              <w:pStyle w:val="Text"/>
              <w:rPr>
                <w:lang w:val="pt-BR"/>
              </w:rPr>
            </w:pPr>
            <w:r w:rsidRPr="00EB5ED4">
              <w:rPr>
                <w:lang w:val="pt-BR"/>
              </w:rPr>
              <w:t>Telefax: +49 (0) 2645 131 – 499</w:t>
            </w:r>
          </w:p>
          <w:p w:rsidR="008D4AE7" w:rsidRPr="00EB5ED4" w:rsidRDefault="00D24067" w:rsidP="008D4AE7">
            <w:pPr>
              <w:pStyle w:val="Text"/>
              <w:rPr>
                <w:lang w:val="pt-BR"/>
              </w:rPr>
            </w:pPr>
            <w:r w:rsidRPr="00EB5ED4">
              <w:rPr>
                <w:lang w:val="pt-BR"/>
              </w:rPr>
              <w:t>E-mail: presse@wirtgen.com</w:t>
            </w:r>
          </w:p>
          <w:p w:rsidR="00D166AC" w:rsidRPr="00D166AC" w:rsidRDefault="008D4AE7" w:rsidP="008D4AE7">
            <w:pPr>
              <w:pStyle w:val="Text"/>
            </w:pPr>
            <w:r>
              <w:t>www.wirtgen.com</w:t>
            </w:r>
          </w:p>
        </w:tc>
        <w:tc>
          <w:tcPr>
            <w:tcW w:w="4740" w:type="dxa"/>
            <w:tcBorders>
              <w:left w:val="single" w:sz="48" w:space="0" w:color="FFFFFF" w:themeColor="background1"/>
            </w:tcBorders>
          </w:tcPr>
          <w:p w:rsidR="0034191A" w:rsidRPr="0034191A" w:rsidRDefault="0034191A" w:rsidP="0034191A">
            <w:pPr>
              <w:pStyle w:val="Text"/>
            </w:pPr>
          </w:p>
        </w:tc>
      </w:tr>
    </w:tbl>
    <w:p w:rsidR="00D166AC" w:rsidRPr="00D166AC" w:rsidRDefault="00D166AC" w:rsidP="00D166AC">
      <w:pPr>
        <w:pStyle w:val="Text"/>
      </w:pPr>
    </w:p>
    <w:sectPr w:rsidR="00D166AC" w:rsidRPr="00D166AC" w:rsidSect="003A753A">
      <w:headerReference w:type="default" r:id="rId10"/>
      <w:footerReference w:type="default" r:id="rId11"/>
      <w:headerReference w:type="first" r:id="rId12"/>
      <w:footerReference w:type="first" r:id="rId13"/>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71F3E" w:rsidRDefault="00671F3E" w:rsidP="00E55534">
      <w:r>
        <w:separator/>
      </w:r>
    </w:p>
  </w:endnote>
  <w:endnote w:type="continuationSeparator" w:id="0">
    <w:p w:rsidR="00671F3E" w:rsidRDefault="00671F3E"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imHei">
    <w:altName w:val="黑体"/>
    <w:panose1 w:val="0201060003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Basic"/>
      <w:tblpPr w:leftFromText="142" w:rightFromText="142" w:vertAnchor="page" w:horzAnchor="page" w:tblpX="1192" w:tblpY="16217"/>
      <w:tblW w:w="0" w:type="auto"/>
      <w:tblLayout w:type="fixed"/>
      <w:tblLook w:val="04A0" w:firstRow="1" w:lastRow="0" w:firstColumn="1" w:lastColumn="0" w:noHBand="0" w:noVBand="1"/>
    </w:tblPr>
    <w:tblGrid>
      <w:gridCol w:w="8364"/>
      <w:gridCol w:w="1160"/>
    </w:tblGrid>
    <w:sdt>
      <w:sdtPr>
        <w:rPr>
          <w:szCs w:val="16"/>
        </w:rPr>
        <w:id w:val="-214889975"/>
        <w:lock w:val="sdtContentLocked"/>
      </w:sdtPr>
      <w:sdtEndPr/>
      <w:sdtContent>
        <w:tr w:rsidR="00A171F4" w:rsidRPr="008C2DB2" w:rsidTr="0012026F">
          <w:trPr>
            <w:cnfStyle w:val="100000000000" w:firstRow="1" w:lastRow="0" w:firstColumn="0" w:lastColumn="0" w:oddVBand="0" w:evenVBand="0" w:oddHBand="0" w:evenHBand="0" w:firstRowFirstColumn="0" w:firstRowLastColumn="0" w:lastRowFirstColumn="0" w:lastRowLastColumn="0"/>
            <w:trHeight w:hRule="exact" w:val="227"/>
          </w:trPr>
          <w:sdt>
            <w:sdtPr>
              <w:rPr>
                <w:szCs w:val="16"/>
              </w:rPr>
              <w:id w:val="1167366250"/>
              <w:showingPlcHdr/>
            </w:sdtPr>
            <w:sdtEndPr>
              <w:rPr>
                <w:szCs w:val="20"/>
              </w:rPr>
            </w:sdtEndPr>
            <w:sdtContent>
              <w:tc>
                <w:tcPr>
                  <w:tcW w:w="8364" w:type="dxa"/>
                </w:tcPr>
                <w:p w:rsidR="00A171F4" w:rsidRPr="008C2DB2" w:rsidRDefault="00A171F4" w:rsidP="005711A3">
                  <w:pPr>
                    <w:pStyle w:val="Kolumnentitel"/>
                  </w:pPr>
                  <w:r>
                    <w:rPr>
                      <w:rStyle w:val="Platzhaltertext"/>
                    </w:rPr>
                    <w:t xml:space="preserve">     </w:t>
                  </w:r>
                </w:p>
              </w:tc>
            </w:sdtContent>
          </w:sdt>
          <w:tc>
            <w:tcPr>
              <w:tcW w:w="1160" w:type="dxa"/>
            </w:tcPr>
            <w:sdt>
              <w:sdtPr>
                <w:id w:val="-1133938393"/>
              </w:sdtPr>
              <w:sdtEndPr/>
              <w:sdtContent>
                <w:p w:rsidR="00A171F4" w:rsidRPr="008C2DB2" w:rsidRDefault="00A171F4" w:rsidP="0012026F">
                  <w:pPr>
                    <w:pStyle w:val="Seitenzahlen"/>
                  </w:pPr>
                  <w:r w:rsidRPr="008C2DB2">
                    <w:fldChar w:fldCharType="begin"/>
                  </w:r>
                  <w:r>
                    <w:instrText xml:space="preserve"> </w:instrText>
                  </w:r>
                  <w:r w:rsidRPr="008C2DB2">
                    <w:instrText>PAGE \# "00"</w:instrText>
                  </w:r>
                  <w:r w:rsidRPr="008C2DB2">
                    <w:fldChar w:fldCharType="separate"/>
                  </w:r>
                  <w:r w:rsidR="00E1341B">
                    <w:rPr>
                      <w:noProof/>
                    </w:rPr>
                    <w:t>02</w:t>
                  </w:r>
                  <w:r w:rsidRPr="008C2DB2">
                    <w:fldChar w:fldCharType="end"/>
                  </w:r>
                </w:p>
              </w:sdtContent>
            </w:sdt>
          </w:tc>
        </w:tr>
      </w:sdtContent>
    </w:sdt>
  </w:tbl>
  <w:sdt>
    <w:sdtPr>
      <w:id w:val="-958642266"/>
      <w:lock w:val="sdtContentLocked"/>
    </w:sdtPr>
    <w:sdtEndPr/>
    <w:sdtContent>
      <w:p w:rsidR="00A171F4" w:rsidRDefault="00A171F4">
        <w:pPr>
          <w:pStyle w:val="Fuzeile"/>
        </w:pPr>
        <w:r>
          <w:rPr>
            <w:noProof/>
            <w:lang w:val="de-DE" w:eastAsia="zh-CN"/>
          </w:rPr>
          <mc:AlternateContent>
            <mc:Choice Requires="wps">
              <w:drawing>
                <wp:anchor distT="0" distB="0" distL="114300" distR="114300" simplePos="0" relativeHeight="251670528" behindDoc="0" locked="0" layoutInCell="1" allowOverlap="1" wp14:anchorId="3E35EFF8" wp14:editId="3643C7F3">
                  <wp:simplePos x="0" y="0"/>
                  <wp:positionH relativeFrom="page">
                    <wp:posOffset>756285</wp:posOffset>
                  </wp:positionH>
                  <wp:positionV relativeFrom="page">
                    <wp:posOffset>10189210</wp:posOffset>
                  </wp:positionV>
                  <wp:extent cx="6048000" cy="18000"/>
                  <wp:effectExtent l="0" t="0" r="0" b="1270"/>
                  <wp:wrapNone/>
                  <wp:docPr id="12" name="Rechteck 12"/>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769F5AB" id="Rechteck 12" o:spid="_x0000_s1026" style="position:absolute;margin-left:59.55pt;margin-top:802.3pt;width:476.2pt;height:1.4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" fillcolor="#41535d [3215]" stroked="f" strokeweight="2pt">
                  <w10:wrap anchorx="page" anchory="page"/>
                </v:rect>
              </w:pict>
            </mc:Fallback>
          </mc:AlternateConten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Basic"/>
      <w:tblpPr w:leftFromText="142" w:rightFromText="142" w:vertAnchor="page" w:horzAnchor="page" w:tblpX="1192" w:tblpY="15934"/>
      <w:tblOverlap w:val="never"/>
      <w:tblW w:w="0" w:type="auto"/>
      <w:tblLook w:val="04A0" w:firstRow="1" w:lastRow="0" w:firstColumn="1" w:lastColumn="0" w:noHBand="0" w:noVBand="1"/>
    </w:tblPr>
    <w:tblGrid>
      <w:gridCol w:w="9524"/>
    </w:tblGrid>
    <w:sdt>
      <w:sdtPr>
        <w:rPr>
          <w:rStyle w:val="Hervorhebung"/>
          <w:szCs w:val="16"/>
        </w:rPr>
        <w:id w:val="-2088915428"/>
        <w:lock w:val="sdtContentLocked"/>
      </w:sdtPr>
      <w:sdtEndPr>
        <w:rPr>
          <w:rStyle w:val="Absatz-Standardschriftart"/>
          <w:b w:val="0"/>
          <w:iCs w:val="0"/>
        </w:rPr>
      </w:sdtEndPr>
      <w:sdtContent>
        <w:tr w:rsidR="00A171F4" w:rsidTr="0012026F">
          <w:trPr>
            <w:cnfStyle w:val="100000000000" w:firstRow="1" w:lastRow="0" w:firstColumn="0" w:lastColumn="0" w:oddVBand="0" w:evenVBand="0" w:oddHBand="0" w:evenHBand="0" w:firstRowFirstColumn="0" w:firstRowLastColumn="0" w:lastRowFirstColumn="0" w:lastRowLastColumn="0"/>
          </w:trPr>
          <w:tc>
            <w:tcPr>
              <w:tcW w:w="9664" w:type="dxa"/>
            </w:tcPr>
            <w:p w:rsidR="00A171F4" w:rsidRDefault="00A171F4" w:rsidP="0012026F">
              <w:pPr>
                <w:pStyle w:val="Fuzeile"/>
                <w:spacing w:before="96" w:after="96"/>
              </w:pPr>
              <w:r w:rsidRPr="003E1CB6">
                <w:rPr>
                  <w:rStyle w:val="Hervorhebung"/>
                </w:rPr>
                <w:t>WIRTGEN GmbH</w:t>
              </w:r>
              <w:r w:rsidRPr="00CF36C9">
                <w:t xml:space="preserve"> · Reinhard-Wirtgen-Str. 2 · D-53578 Windhagen · T: +49 26 45 / 131 0</w:t>
              </w:r>
            </w:p>
          </w:tc>
        </w:tr>
      </w:sdtContent>
    </w:sdt>
  </w:tbl>
  <w:sdt>
    <w:sdtPr>
      <w:id w:val="-1944752626"/>
      <w:lock w:val="sdtContentLocked"/>
    </w:sdtPr>
    <w:sdtEndPr/>
    <w:sdtContent>
      <w:p w:rsidR="00A171F4" w:rsidRDefault="00A171F4">
        <w:pPr>
          <w:pStyle w:val="Fuzeile"/>
        </w:pPr>
        <w:r>
          <w:rPr>
            <w:noProof/>
            <w:lang w:val="de-DE" w:eastAsia="zh-CN"/>
          </w:rPr>
          <mc:AlternateContent>
            <mc:Choice Requires="wps">
              <w:drawing>
                <wp:anchor distT="0" distB="0" distL="114300" distR="114300" simplePos="0" relativeHeight="251662336" behindDoc="0" locked="0" layoutInCell="1" allowOverlap="1" wp14:anchorId="57157764" wp14:editId="6D92112A">
                  <wp:simplePos x="0" y="0"/>
                  <wp:positionH relativeFrom="page">
                    <wp:posOffset>756285</wp:posOffset>
                  </wp:positionH>
                  <wp:positionV relativeFrom="page">
                    <wp:posOffset>10081260</wp:posOffset>
                  </wp:positionV>
                  <wp:extent cx="6048000" cy="18000"/>
                  <wp:effectExtent l="0" t="0" r="0" b="1270"/>
                  <wp:wrapNone/>
                  <wp:docPr id="6" name="Rechteck 6"/>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D51D735" id="Rechteck 6" o:spid="_x0000_s1026" style="position:absolute;margin-left:59.55pt;margin-top:793.8pt;width:476.2pt;height:1.4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" fillcolor="#41535d [3215]" stroked="f" strokeweight="2pt">
                  <w10:wrap anchorx="page" anchory="page"/>
                </v:rect>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71F3E" w:rsidRDefault="00671F3E" w:rsidP="00E55534">
      <w:r>
        <w:separator/>
      </w:r>
    </w:p>
  </w:footnote>
  <w:footnote w:type="continuationSeparator" w:id="0">
    <w:p w:rsidR="00671F3E" w:rsidRDefault="00671F3E"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4"/>
      </w:rPr>
      <w:id w:val="1105004567"/>
      <w:lock w:val="sdtContentLocked"/>
    </w:sdtPr>
    <w:sdtEndPr/>
    <w:sdtContent>
      <w:p w:rsidR="00A171F4" w:rsidRPr="002E765F" w:rsidRDefault="00A171F4">
        <w:pPr>
          <w:pStyle w:val="Kopfzeile"/>
          <w:rPr>
            <w:noProof/>
            <w:sz w:val="14"/>
            <w:lang w:eastAsia="de-DE"/>
          </w:rPr>
        </w:pPr>
      </w:p>
      <w:tbl>
        <w:tblPr>
          <w:tblStyle w:val="Basic"/>
          <w:tblpPr w:vertAnchor="page" w:horzAnchor="page" w:tblpX="7287" w:tblpY="1379"/>
          <w:tblW w:w="0" w:type="auto"/>
          <w:tblLayout w:type="fixed"/>
          <w:tblLook w:val="04A0" w:firstRow="1" w:lastRow="0" w:firstColumn="1" w:lastColumn="0" w:noHBand="0" w:noVBand="1"/>
        </w:tblPr>
        <w:tblGrid>
          <w:gridCol w:w="3439"/>
        </w:tblGrid>
        <w:tr w:rsidR="00A171F4" w:rsidRPr="002E765F" w:rsidTr="00D166AC">
          <w:trPr>
            <w:cnfStyle w:val="100000000000" w:firstRow="1" w:lastRow="0" w:firstColumn="0" w:lastColumn="0" w:oddVBand="0" w:evenVBand="0" w:oddHBand="0" w:evenHBand="0" w:firstRowFirstColumn="0" w:firstRowLastColumn="0" w:lastRowFirstColumn="0" w:lastRowLastColumn="0"/>
            <w:trHeight w:hRule="exact" w:val="510"/>
          </w:trPr>
          <w:tc>
            <w:tcPr>
              <w:tcW w:w="3439" w:type="dxa"/>
            </w:tcPr>
            <w:p w:rsidR="00A171F4" w:rsidRPr="002E765F" w:rsidRDefault="00A171F4" w:rsidP="00D166AC">
              <w:pPr>
                <w:pStyle w:val="Titel"/>
                <w:jc w:val="right"/>
                <w:rPr>
                  <w:sz w:val="32"/>
                  <w:szCs w:val="34"/>
                </w:rPr>
              </w:pPr>
              <w:r w:rsidRPr="002E765F">
                <w:rPr>
                  <w:sz w:val="32"/>
                  <w:szCs w:val="34"/>
                </w:rPr>
                <w:t>PRESS</w:t>
              </w:r>
              <w:r>
                <w:rPr>
                  <w:sz w:val="32"/>
                  <w:szCs w:val="34"/>
                </w:rPr>
                <w:t xml:space="preserve"> </w:t>
              </w:r>
              <w:r w:rsidRPr="002E765F">
                <w:rPr>
                  <w:sz w:val="6"/>
                  <w:szCs w:val="2"/>
                </w:rPr>
                <w:t xml:space="preserve"> </w:t>
              </w:r>
              <w:r>
                <w:rPr>
                  <w:sz w:val="32"/>
                  <w:szCs w:val="34"/>
                </w:rPr>
                <w:t>R</w:t>
              </w:r>
              <w:r w:rsidRPr="002E765F">
                <w:rPr>
                  <w:sz w:val="32"/>
                  <w:szCs w:val="34"/>
                </w:rPr>
                <w:t>ELEASE</w:t>
              </w:r>
            </w:p>
          </w:tc>
        </w:tr>
      </w:tbl>
      <w:p w:rsidR="00A171F4" w:rsidRPr="002E765F" w:rsidRDefault="00A171F4">
        <w:pPr>
          <w:pStyle w:val="Kopfzeile"/>
          <w:rPr>
            <w:sz w:val="14"/>
          </w:rPr>
        </w:pPr>
        <w:r w:rsidRPr="002E765F">
          <w:rPr>
            <w:noProof/>
            <w:sz w:val="14"/>
            <w:lang w:val="de-DE" w:eastAsia="zh-CN"/>
          </w:rPr>
          <w:drawing>
            <wp:anchor distT="0" distB="0" distL="114300" distR="114300" simplePos="0" relativeHeight="251666432" behindDoc="0" locked="0" layoutInCell="1" allowOverlap="1" wp14:anchorId="6E7DF4EB" wp14:editId="7129BE80">
              <wp:simplePos x="0" y="0"/>
              <wp:positionH relativeFrom="page">
                <wp:posOffset>5443855</wp:posOffset>
              </wp:positionH>
              <wp:positionV relativeFrom="page">
                <wp:posOffset>323850</wp:posOffset>
              </wp:positionV>
              <wp:extent cx="1360800" cy="64800"/>
              <wp:effectExtent l="0" t="0" r="0" b="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60800" cy="648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val="de-DE" w:eastAsia="zh-CN"/>
          </w:rPr>
          <w:drawing>
            <wp:anchor distT="0" distB="0" distL="114300" distR="114300" simplePos="0" relativeHeight="251664384" behindDoc="0" locked="0" layoutInCell="1" allowOverlap="1" wp14:anchorId="697E1A53" wp14:editId="25C4DCA9">
              <wp:simplePos x="0" y="0"/>
              <wp:positionH relativeFrom="page">
                <wp:posOffset>756285</wp:posOffset>
              </wp:positionH>
              <wp:positionV relativeFrom="page">
                <wp:posOffset>288290</wp:posOffset>
              </wp:positionV>
              <wp:extent cx="1605600" cy="288000"/>
              <wp:effectExtent l="0" t="0" r="0" b="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1605600" cy="2880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val="de-DE" w:eastAsia="zh-CN"/>
          </w:rPr>
          <mc:AlternateContent>
            <mc:Choice Requires="wps">
              <w:drawing>
                <wp:anchor distT="0" distB="0" distL="114300" distR="114300" simplePos="0" relativeHeight="251668480" behindDoc="0" locked="0" layoutInCell="1" allowOverlap="1" wp14:anchorId="0C521890" wp14:editId="448505A2">
                  <wp:simplePos x="0" y="0"/>
                  <wp:positionH relativeFrom="page">
                    <wp:posOffset>756285</wp:posOffset>
                  </wp:positionH>
                  <wp:positionV relativeFrom="page">
                    <wp:posOffset>702310</wp:posOffset>
                  </wp:positionV>
                  <wp:extent cx="6048000" cy="36000"/>
                  <wp:effectExtent l="0" t="0" r="0" b="2540"/>
                  <wp:wrapNone/>
                  <wp:docPr id="11" name="Rechteck 11"/>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1AA6B01" id="Rechteck 11" o:spid="_x0000_s1026" style="position:absolute;margin-left:59.55pt;margin-top:55.3pt;width:476.2pt;height:2.8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" fillcolor="#41535d [3215]" stroked="f" strokeweight="2pt">
                  <w10:wrap anchorx="page" anchory="page"/>
                </v:rect>
              </w:pict>
            </mc:Fallback>
          </mc:AlternateContent>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80274487"/>
      <w:lock w:val="sdtContentLocked"/>
    </w:sdtPr>
    <w:sdtEndPr/>
    <w:sdtContent>
      <w:p w:rsidR="00A171F4" w:rsidRDefault="00A171F4">
        <w:pPr>
          <w:pStyle w:val="Kopfzeile"/>
        </w:pPr>
        <w:r>
          <w:rPr>
            <w:noProof/>
            <w:lang w:val="de-DE" w:eastAsia="zh-CN"/>
          </w:rPr>
          <mc:AlternateContent>
            <mc:Choice Requires="wps">
              <w:drawing>
                <wp:anchor distT="0" distB="0" distL="114300" distR="114300" simplePos="0" relativeHeight="251660288" behindDoc="0" locked="0" layoutInCell="1" allowOverlap="1" wp14:anchorId="615A7A5C" wp14:editId="67150764">
                  <wp:simplePos x="0" y="0"/>
                  <wp:positionH relativeFrom="page">
                    <wp:posOffset>756285</wp:posOffset>
                  </wp:positionH>
                  <wp:positionV relativeFrom="page">
                    <wp:posOffset>935990</wp:posOffset>
                  </wp:positionV>
                  <wp:extent cx="6048000" cy="36000"/>
                  <wp:effectExtent l="0" t="0" r="0" b="2540"/>
                  <wp:wrapNone/>
                  <wp:docPr id="5" name="Rechteck 5"/>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E67A287" id="Rechteck 5" o:spid="_x0000_s1026" style="position:absolute;margin-left:59.55pt;margin-top:73.7pt;width:476.2pt;height:2.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" fillcolor="#41535d [3215]" stroked="f" strokeweight="2pt">
                  <w10:wrap anchorx="page" anchory="page"/>
                </v:rect>
              </w:pict>
            </mc:Fallback>
          </mc:AlternateContent>
        </w:r>
        <w:r>
          <w:rPr>
            <w:noProof/>
            <w:lang w:val="de-DE" w:eastAsia="zh-CN"/>
          </w:rPr>
          <w:drawing>
            <wp:anchor distT="0" distB="0" distL="114300" distR="114300" simplePos="0" relativeHeight="251659264" behindDoc="0" locked="0" layoutInCell="1" allowOverlap="1" wp14:anchorId="2CC97DB7" wp14:editId="48E8AF05">
              <wp:simplePos x="0" y="0"/>
              <wp:positionH relativeFrom="page">
                <wp:posOffset>5328920</wp:posOffset>
              </wp:positionH>
              <wp:positionV relativeFrom="page">
                <wp:posOffset>421005</wp:posOffset>
              </wp:positionV>
              <wp:extent cx="1476000" cy="79200"/>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76000" cy="79200"/>
                      </a:xfrm>
                      <a:prstGeom prst="rect">
                        <a:avLst/>
                      </a:prstGeom>
                    </pic:spPr>
                  </pic:pic>
                </a:graphicData>
              </a:graphic>
              <wp14:sizeRelH relativeFrom="margin">
                <wp14:pctWidth>0</wp14:pctWidth>
              </wp14:sizeRelH>
              <wp14:sizeRelV relativeFrom="margin">
                <wp14:pctHeight>0</wp14:pctHeight>
              </wp14:sizeRelV>
            </wp:anchor>
          </w:drawing>
        </w:r>
        <w:r>
          <w:rPr>
            <w:noProof/>
            <w:lang w:val="de-DE" w:eastAsia="zh-CN"/>
          </w:rPr>
          <w:drawing>
            <wp:anchor distT="0" distB="0" distL="114300" distR="114300" simplePos="0" relativeHeight="251658240" behindDoc="0" locked="0" layoutInCell="1" allowOverlap="1" wp14:anchorId="218F2EFB" wp14:editId="0D0A16B3">
              <wp:simplePos x="0" y="0"/>
              <wp:positionH relativeFrom="page">
                <wp:posOffset>756285</wp:posOffset>
              </wp:positionH>
              <wp:positionV relativeFrom="page">
                <wp:posOffset>360045</wp:posOffset>
              </wp:positionV>
              <wp:extent cx="3290400" cy="360000"/>
              <wp:effectExtent l="0" t="0" r="0" b="254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3290400" cy="360000"/>
                      </a:xfrm>
                      <a:prstGeom prst="rect">
                        <a:avLst/>
                      </a:prstGeom>
                    </pic:spPr>
                  </pic:pic>
                </a:graphicData>
              </a:graphic>
              <wp14:sizeRelH relativeFrom="margin">
                <wp14:pctWidth>0</wp14:pctWidth>
              </wp14:sizeRelH>
              <wp14:sizeRelV relativeFrom="margin">
                <wp14:pctHeight>0</wp14:pctHeight>
              </wp14:sizeRelV>
            </wp:anchor>
          </w:drawing>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500pt;height:1500pt" o:bullet="t">
        <v:imagedata r:id="rId1" o:title="AZ_04a"/>
      </v:shape>
    </w:pict>
  </w:numPicBullet>
  <w:numPicBullet w:numPicBulletId="1">
    <w:pict>
      <v:shape id="_x0000_i1030" type="#_x0000_t75" style="width:7.5pt;height:7.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Theme="minorHAnsi" w:hAnsiTheme="minorHAnsi" w:hint="default"/>
        <w:sz w:val="36"/>
      </w:rPr>
    </w:lvl>
    <w:lvl w:ilvl="1">
      <w:start w:val="1"/>
      <w:numFmt w:val="decimal"/>
      <w:lvlText w:val="%1.%2."/>
      <w:lvlJc w:val="left"/>
      <w:pPr>
        <w:tabs>
          <w:tab w:val="num" w:pos="510"/>
        </w:tabs>
        <w:ind w:left="510" w:hanging="510"/>
      </w:pPr>
      <w:rPr>
        <w:rFonts w:asciiTheme="minorHAnsi" w:hAnsiTheme="minorHAnsi" w:hint="default"/>
        <w:sz w:val="26"/>
      </w:rPr>
    </w:lvl>
    <w:lvl w:ilvl="2">
      <w:start w:val="1"/>
      <w:numFmt w:val="decimal"/>
      <w:lvlText w:val="%1.%2.%3"/>
      <w:lvlJc w:val="left"/>
      <w:pPr>
        <w:tabs>
          <w:tab w:val="num" w:pos="680"/>
        </w:tabs>
        <w:ind w:left="680" w:hanging="680"/>
      </w:pPr>
      <w:rPr>
        <w:rFonts w:asciiTheme="minorHAnsi" w:hAnsiTheme="minorHAnsi" w:hint="default"/>
        <w:sz w:val="22"/>
      </w:rPr>
    </w:lvl>
    <w:lvl w:ilvl="3">
      <w:start w:val="1"/>
      <w:numFmt w:val="decimal"/>
      <w:lvlText w:val="%1.%2.%3.%4."/>
      <w:lvlJc w:val="left"/>
      <w:pPr>
        <w:tabs>
          <w:tab w:val="num" w:pos="851"/>
        </w:tabs>
        <w:ind w:left="851" w:hanging="851"/>
      </w:pPr>
      <w:rPr>
        <w:rFonts w:asciiTheme="minorHAnsi" w:hAnsiTheme="minorHAnsi"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Theme="minorHAnsi" w:hAnsiTheme="minorHAnsi" w:hint="default"/>
        <w:sz w:val="32"/>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Theme="minorHAnsi" w:hAnsiTheme="minorHAnsi" w:hint="default"/>
        <w:sz w:val="16"/>
      </w:rPr>
    </w:lvl>
    <w:lvl w:ilvl="1">
      <w:start w:val="1"/>
      <w:numFmt w:val="none"/>
      <w:lvlRestart w:val="0"/>
      <w:lvlText w:val="%1."/>
      <w:lvlJc w:val="left"/>
      <w:pPr>
        <w:tabs>
          <w:tab w:val="num" w:pos="284"/>
        </w:tabs>
        <w:ind w:left="284" w:hanging="284"/>
      </w:pPr>
      <w:rPr>
        <w:rFonts w:asciiTheme="minorHAnsi" w:hAnsiTheme="minorHAnsi"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Theme="minorHAnsi" w:hAnsiTheme="minorHAnsi" w:hint="default"/>
        <w:b/>
        <w:i w:val="0"/>
        <w:sz w:val="22"/>
      </w:rPr>
    </w:lvl>
    <w:lvl w:ilvl="1">
      <w:start w:val="1"/>
      <w:numFmt w:val="decimal"/>
      <w:lvlText w:val="%1.%2"/>
      <w:lvlJc w:val="left"/>
      <w:pPr>
        <w:tabs>
          <w:tab w:val="num" w:pos="567"/>
        </w:tabs>
        <w:ind w:left="567" w:hanging="567"/>
      </w:pPr>
      <w:rPr>
        <w:rFonts w:asciiTheme="minorHAnsi" w:hAnsiTheme="minorHAnsi" w:hint="default"/>
        <w:b/>
        <w:i w:val="0"/>
        <w:sz w:val="19"/>
      </w:rPr>
    </w:lvl>
    <w:lvl w:ilvl="2">
      <w:start w:val="1"/>
      <w:numFmt w:val="decimal"/>
      <w:lvlText w:val="%1.%2.%3"/>
      <w:lvlJc w:val="left"/>
      <w:pPr>
        <w:tabs>
          <w:tab w:val="num" w:pos="567"/>
        </w:tabs>
        <w:ind w:left="567" w:hanging="567"/>
      </w:pPr>
      <w:rPr>
        <w:rFonts w:asciiTheme="minorHAnsi" w:hAnsiTheme="minorHAnsi"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7FEA0A23"/>
    <w:multiLevelType w:val="multilevel"/>
    <w:tmpl w:val="CD7452BA"/>
    <w:lvl w:ilvl="0">
      <w:start w:val="1"/>
      <w:numFmt w:val="decimal"/>
      <w:lvlText w:val="%1"/>
      <w:lvlJc w:val="left"/>
      <w:pPr>
        <w:tabs>
          <w:tab w:val="num" w:pos="284"/>
        </w:tabs>
        <w:ind w:left="0" w:firstLine="0"/>
      </w:pPr>
      <w:rPr>
        <w:rFonts w:asciiTheme="majorHAnsi" w:hAnsiTheme="majorHAnsi" w:hint="default"/>
        <w:sz w:val="20"/>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71F3E"/>
    <w:rsid w:val="00042106"/>
    <w:rsid w:val="0005285B"/>
    <w:rsid w:val="00066D09"/>
    <w:rsid w:val="00082F31"/>
    <w:rsid w:val="0009665C"/>
    <w:rsid w:val="000A7276"/>
    <w:rsid w:val="000E2697"/>
    <w:rsid w:val="00103205"/>
    <w:rsid w:val="0012026F"/>
    <w:rsid w:val="00132055"/>
    <w:rsid w:val="0014683F"/>
    <w:rsid w:val="00150094"/>
    <w:rsid w:val="001B16BB"/>
    <w:rsid w:val="00244981"/>
    <w:rsid w:val="00253A2E"/>
    <w:rsid w:val="002844EF"/>
    <w:rsid w:val="0029634D"/>
    <w:rsid w:val="00296479"/>
    <w:rsid w:val="002E765F"/>
    <w:rsid w:val="002F108B"/>
    <w:rsid w:val="002F2851"/>
    <w:rsid w:val="0034191A"/>
    <w:rsid w:val="00343CC7"/>
    <w:rsid w:val="00351388"/>
    <w:rsid w:val="00367FE7"/>
    <w:rsid w:val="00383166"/>
    <w:rsid w:val="00384A08"/>
    <w:rsid w:val="003A563A"/>
    <w:rsid w:val="003A753A"/>
    <w:rsid w:val="003E1CB6"/>
    <w:rsid w:val="003E3CF6"/>
    <w:rsid w:val="003E759F"/>
    <w:rsid w:val="00403373"/>
    <w:rsid w:val="00406C81"/>
    <w:rsid w:val="00412545"/>
    <w:rsid w:val="00430BB0"/>
    <w:rsid w:val="00463D7D"/>
    <w:rsid w:val="00476F4D"/>
    <w:rsid w:val="004A6D82"/>
    <w:rsid w:val="004D23C5"/>
    <w:rsid w:val="00506409"/>
    <w:rsid w:val="00530E32"/>
    <w:rsid w:val="005711A3"/>
    <w:rsid w:val="00572433"/>
    <w:rsid w:val="00573B2B"/>
    <w:rsid w:val="0058114C"/>
    <w:rsid w:val="005A4F04"/>
    <w:rsid w:val="005B3697"/>
    <w:rsid w:val="005B5793"/>
    <w:rsid w:val="006330A2"/>
    <w:rsid w:val="00642EB6"/>
    <w:rsid w:val="006510FB"/>
    <w:rsid w:val="00671F3E"/>
    <w:rsid w:val="006A6782"/>
    <w:rsid w:val="006B73C9"/>
    <w:rsid w:val="006F7602"/>
    <w:rsid w:val="00722A17"/>
    <w:rsid w:val="00757B83"/>
    <w:rsid w:val="007658CA"/>
    <w:rsid w:val="00791A69"/>
    <w:rsid w:val="00794830"/>
    <w:rsid w:val="00797CAA"/>
    <w:rsid w:val="007C2658"/>
    <w:rsid w:val="007E20D0"/>
    <w:rsid w:val="00820315"/>
    <w:rsid w:val="00843B45"/>
    <w:rsid w:val="00847049"/>
    <w:rsid w:val="00863129"/>
    <w:rsid w:val="008C2DB2"/>
    <w:rsid w:val="008D4AE7"/>
    <w:rsid w:val="008D770E"/>
    <w:rsid w:val="0090337E"/>
    <w:rsid w:val="0094310B"/>
    <w:rsid w:val="009A7E90"/>
    <w:rsid w:val="009C2378"/>
    <w:rsid w:val="009D016F"/>
    <w:rsid w:val="009E251D"/>
    <w:rsid w:val="00A171F4"/>
    <w:rsid w:val="00A24EFC"/>
    <w:rsid w:val="00A80677"/>
    <w:rsid w:val="00A977CE"/>
    <w:rsid w:val="00AA69CC"/>
    <w:rsid w:val="00AD131F"/>
    <w:rsid w:val="00AF3B3A"/>
    <w:rsid w:val="00AF6569"/>
    <w:rsid w:val="00B06265"/>
    <w:rsid w:val="00B5695F"/>
    <w:rsid w:val="00B90F78"/>
    <w:rsid w:val="00BD1058"/>
    <w:rsid w:val="00BF56B2"/>
    <w:rsid w:val="00C03396"/>
    <w:rsid w:val="00C1451A"/>
    <w:rsid w:val="00C14CD3"/>
    <w:rsid w:val="00C457C3"/>
    <w:rsid w:val="00C46E71"/>
    <w:rsid w:val="00C644CA"/>
    <w:rsid w:val="00C73005"/>
    <w:rsid w:val="00CF36C9"/>
    <w:rsid w:val="00D0267A"/>
    <w:rsid w:val="00D166AC"/>
    <w:rsid w:val="00D23C1F"/>
    <w:rsid w:val="00D24067"/>
    <w:rsid w:val="00D32143"/>
    <w:rsid w:val="00E1341B"/>
    <w:rsid w:val="00E14608"/>
    <w:rsid w:val="00E21E67"/>
    <w:rsid w:val="00E30EBF"/>
    <w:rsid w:val="00E52D70"/>
    <w:rsid w:val="00E55534"/>
    <w:rsid w:val="00E73142"/>
    <w:rsid w:val="00E914D1"/>
    <w:rsid w:val="00EB5ED4"/>
    <w:rsid w:val="00F03020"/>
    <w:rsid w:val="00F040EA"/>
    <w:rsid w:val="00F20920"/>
    <w:rsid w:val="00F56318"/>
    <w:rsid w:val="00F82525"/>
    <w:rsid w:val="00F97FEA"/>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C253E9B"/>
  <w15:docId w15:val="{A8DC31A8-9461-4104-8324-094D4D75C3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6"/>
        <w:szCs w:val="16"/>
        <w:lang w:val="es-E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semiHidden/>
    <w:qFormat/>
    <w:rsid w:val="00B5695F"/>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843B45"/>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843B45"/>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B5695F"/>
    <w:pPr>
      <w:numPr>
        <w:numId w:val="22"/>
      </w:numPr>
      <w:spacing w:after="120" w:line="280" w:lineRule="atLeast"/>
      <w:contextualSpacing/>
    </w:pPr>
    <w:rPr>
      <w:sz w:val="22"/>
    </w:rPr>
  </w:style>
  <w:style w:type="paragraph" w:customStyle="1" w:styleId="Bulletpoint2">
    <w:name w:val="Bulletpoint 2"/>
    <w:basedOn w:val="Standard"/>
    <w:uiPriority w:val="5"/>
    <w:qFormat/>
    <w:rsid w:val="00B5695F"/>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B5695F"/>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character" w:customStyle="1" w:styleId="ListLabel10">
    <w:name w:val="ListLabel 10"/>
    <w:qFormat/>
    <w:rsid w:val="00082F31"/>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6.wmf"/><Relationship Id="rId1" Type="http://schemas.openxmlformats.org/officeDocument/2006/relationships/image" Target="media/image5.png"/></Relationships>
</file>

<file path=word/_rels/header2.xml.rels><?xml version="1.0" encoding="UTF-8" standalone="yes"?>
<Relationships xmlns="http://schemas.openxmlformats.org/package/2006/relationships"><Relationship Id="rId2" Type="http://schemas.openxmlformats.org/officeDocument/2006/relationships/image" Target="media/image8.wmf"/><Relationship Id="rId1" Type="http://schemas.openxmlformats.org/officeDocument/2006/relationships/image" Target="media/image7.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ischuelera\AppData\Roaming\Microsoft\Templates\PR_WIRTGEN%20GmbH_Vorlage.dotx" TargetMode="External"/></Relationships>
</file>

<file path=word/theme/theme1.xml><?xml version="1.0" encoding="utf-8"?>
<a:theme xmlns:a="http://schemas.openxmlformats.org/drawingml/2006/main" name="Office Theme">
  <a:themeElements>
    <a:clrScheme name="Wirtgen_Wirtgen">
      <a:dk1>
        <a:srgbClr val="41535D"/>
      </a:dk1>
      <a:lt1>
        <a:sysClr val="window" lastClr="FFFFFF"/>
      </a:lt1>
      <a:dk2>
        <a:srgbClr val="41535D"/>
      </a:dk2>
      <a:lt2>
        <a:srgbClr val="ADB2B6"/>
      </a:lt2>
      <a:accent1>
        <a:srgbClr val="5C666F"/>
      </a:accent1>
      <a:accent2>
        <a:srgbClr val="7C848C"/>
      </a:accent2>
      <a:accent3>
        <a:srgbClr val="9DA3A8"/>
      </a:accent3>
      <a:accent4>
        <a:srgbClr val="BDC1C5"/>
      </a:accent4>
      <a:accent5>
        <a:srgbClr val="DEE0E2"/>
      </a:accent5>
      <a:accent6>
        <a:srgbClr val="EEEFF0"/>
      </a:accent6>
      <a:hlink>
        <a:srgbClr val="41535D"/>
      </a:hlink>
      <a:folHlink>
        <a:srgbClr val="9DA3A8"/>
      </a:folHlink>
    </a:clrScheme>
    <a:fontScheme name="Wirtgen">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tx2"/>
        </a:solidFill>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8C83FA-F8BF-4B2E-9DE1-96AC64C75C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GmbH_Vorlage.dotx</Template>
  <TotalTime>0</TotalTime>
  <Pages>2</Pages>
  <Words>457</Words>
  <Characters>2880</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
    </vt:vector>
  </TitlesOfParts>
  <Company>Wirtgen GmbH</Company>
  <LinksUpToDate>false</LinksUpToDate>
  <CharactersWithSpaces>3331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Alves Alice</cp:lastModifiedBy>
  <cp:revision>23</cp:revision>
  <dcterms:created xsi:type="dcterms:W3CDTF">2019-09-11T13:19:00Z</dcterms:created>
  <dcterms:modified xsi:type="dcterms:W3CDTF">2020-11-16T12:00:00Z</dcterms:modified>
</cp:coreProperties>
</file>